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5E5812" w:rsidRPr="005E5812">
        <w:rPr>
          <w:rFonts w:ascii="Times New Roman" w:hAnsi="Times New Roman" w:cs="Times New Roman"/>
          <w:b/>
          <w:iCs w:val="0"/>
          <w:sz w:val="20"/>
          <w:szCs w:val="20"/>
        </w:rPr>
        <w:t>DOA/250/16-3/NB/2020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690CED">
        <w:rPr>
          <w:rFonts w:ascii="Times New Roman" w:hAnsi="Times New Roman" w:cs="Times New Roman"/>
          <w:b/>
          <w:bCs/>
          <w:sz w:val="24"/>
        </w:rPr>
        <w:t>2</w:t>
      </w:r>
    </w:p>
    <w:p w:rsidR="00584EF8" w:rsidRDefault="00690CE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Wyposażenie</w:t>
      </w:r>
    </w:p>
    <w:p w:rsidR="00BC23B2" w:rsidRDefault="00BC23B2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A565CA" w:rsidRPr="00A565CA" w:rsidRDefault="00A565CA" w:rsidP="00A565CA">
      <w:pPr>
        <w:jc w:val="center"/>
        <w:rPr>
          <w:b/>
        </w:rPr>
      </w:pPr>
      <w:r w:rsidRPr="00A565CA">
        <w:rPr>
          <w:b/>
        </w:rPr>
        <w:t xml:space="preserve">Dostawa mebli i wyposażenia do Szpitala Psychiatrycznego </w:t>
      </w:r>
    </w:p>
    <w:p w:rsidR="00BC23B2" w:rsidRDefault="00A565CA" w:rsidP="00A565CA">
      <w:pPr>
        <w:jc w:val="center"/>
        <w:rPr>
          <w:b/>
        </w:rPr>
      </w:pPr>
      <w:r w:rsidRPr="00A565CA">
        <w:rPr>
          <w:b/>
        </w:rPr>
        <w:t>SPZOZ w Węgorzewie</w:t>
      </w:r>
    </w:p>
    <w:p w:rsidR="00A565CA" w:rsidRPr="0020584A" w:rsidRDefault="00A565CA" w:rsidP="00A565CA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A565CA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A565CA" w:rsidRPr="00A565CA">
        <w:rPr>
          <w:b/>
        </w:rPr>
        <w:t>Dostawa mebli i wyposażeni</w:t>
      </w:r>
      <w:r w:rsidR="00A565CA">
        <w:rPr>
          <w:b/>
        </w:rPr>
        <w:t xml:space="preserve">a do Szpitala Psychiatrycznego </w:t>
      </w:r>
      <w:r w:rsidR="00A565CA" w:rsidRPr="00A565CA">
        <w:rPr>
          <w:b/>
        </w:rPr>
        <w:t>SPZOZ w Węgorzewie</w:t>
      </w:r>
      <w:r w:rsidR="00A565CA">
        <w:rPr>
          <w:b/>
        </w:rPr>
        <w:t xml:space="preserve"> </w:t>
      </w:r>
      <w:r w:rsidR="006113BA">
        <w:rPr>
          <w:b/>
        </w:rPr>
        <w:t xml:space="preserve">- </w:t>
      </w:r>
      <w:r w:rsidR="00EC2E2F" w:rsidRPr="00EC2E2F">
        <w:rPr>
          <w:b/>
        </w:rPr>
        <w:t xml:space="preserve"> </w:t>
      </w:r>
      <w:r w:rsidR="00690CED">
        <w:rPr>
          <w:b/>
        </w:rPr>
        <w:t>Wyposażenie</w:t>
      </w:r>
      <w:r w:rsidR="00584EF8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 xml:space="preserve">zgodnie z </w:t>
      </w:r>
      <w:r w:rsidRPr="00D24EFB">
        <w:rPr>
          <w:b/>
        </w:rPr>
        <w:lastRenderedPageBreak/>
        <w:t>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3434"/>
        <w:gridCol w:w="1046"/>
        <w:gridCol w:w="1510"/>
        <w:gridCol w:w="3302"/>
      </w:tblGrid>
      <w:tr w:rsidR="00C86D9E" w:rsidRPr="00A565CA" w:rsidTr="00803992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A565CA" w:rsidRDefault="00803992" w:rsidP="00B561AB">
            <w:pPr>
              <w:rPr>
                <w:b/>
              </w:rPr>
            </w:pPr>
          </w:p>
          <w:p w:rsidR="00803992" w:rsidRPr="00A565CA" w:rsidRDefault="00803992" w:rsidP="00B561AB">
            <w:pPr>
              <w:rPr>
                <w:b/>
              </w:rPr>
            </w:pPr>
            <w:r w:rsidRPr="00A565CA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  <w:color w:val="FF0000"/>
              </w:rPr>
            </w:pPr>
            <w:r w:rsidRPr="00A565CA">
              <w:rPr>
                <w:b/>
              </w:rPr>
              <w:t>Wartość brutto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A565CA" w:rsidRDefault="00690CED" w:rsidP="00EC2E2F">
            <w:pPr>
              <w:rPr>
                <w:b/>
              </w:rPr>
            </w:pPr>
            <w:r>
              <w:rPr>
                <w:b/>
              </w:rPr>
              <w:t>Tablica informacyjne</w:t>
            </w:r>
          </w:p>
        </w:tc>
        <w:tc>
          <w:tcPr>
            <w:tcW w:w="1056" w:type="dxa"/>
            <w:vAlign w:val="center"/>
          </w:tcPr>
          <w:p w:rsidR="0080399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A565CA" w:rsidRDefault="0080399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</w:t>
            </w:r>
            <w:r w:rsidR="00EC2E2F" w:rsidRPr="00A565CA">
              <w:rPr>
                <w:b/>
              </w:rPr>
              <w:t>z</w:t>
            </w:r>
            <w:r w:rsidRPr="00A565CA">
              <w:rPr>
                <w:b/>
              </w:rPr>
              <w:t>ł</w:t>
            </w:r>
            <w:r w:rsidR="00EC2E2F" w:rsidRPr="00A565CA">
              <w:rPr>
                <w:b/>
              </w:rPr>
              <w:t xml:space="preserve"> 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6113BA" w:rsidRPr="00A565CA" w:rsidRDefault="006113B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6113BA" w:rsidRPr="00A565CA" w:rsidRDefault="00690CED" w:rsidP="00EC2E2F">
            <w:pPr>
              <w:rPr>
                <w:b/>
              </w:rPr>
            </w:pPr>
            <w:r>
              <w:rPr>
                <w:b/>
              </w:rPr>
              <w:t>Tabliczka informacyjna</w:t>
            </w:r>
          </w:p>
        </w:tc>
        <w:tc>
          <w:tcPr>
            <w:tcW w:w="1056" w:type="dxa"/>
            <w:vAlign w:val="center"/>
          </w:tcPr>
          <w:p w:rsidR="006113BA" w:rsidRPr="00A565CA" w:rsidRDefault="00690CED" w:rsidP="00EC2E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10" w:type="dxa"/>
            <w:vAlign w:val="center"/>
          </w:tcPr>
          <w:p w:rsidR="006113BA" w:rsidRPr="00A565CA" w:rsidRDefault="006113BA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6113BA" w:rsidRPr="00A565CA" w:rsidRDefault="00F33FC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zł </w:t>
            </w:r>
            <w:r w:rsidR="00690CED">
              <w:rPr>
                <w:b/>
              </w:rPr>
              <w:t>x 27 szt. = …….. zł</w:t>
            </w:r>
          </w:p>
        </w:tc>
      </w:tr>
      <w:tr w:rsidR="00A565CA" w:rsidRPr="00A565CA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A565CA" w:rsidRPr="00A565CA" w:rsidRDefault="00A565CA" w:rsidP="001D1D92">
            <w:pPr>
              <w:jc w:val="right"/>
              <w:rPr>
                <w:b/>
              </w:rPr>
            </w:pPr>
            <w:r w:rsidRPr="00A565CA">
              <w:rPr>
                <w:b/>
              </w:rPr>
              <w:t>RAZEM</w:t>
            </w:r>
          </w:p>
        </w:tc>
        <w:tc>
          <w:tcPr>
            <w:tcW w:w="3366" w:type="dxa"/>
          </w:tcPr>
          <w:p w:rsidR="00A565CA" w:rsidRPr="00A565CA" w:rsidRDefault="00A565CA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A565CA" w:rsidRDefault="00A565C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690CED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Tabliczki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</w:t>
            </w:r>
            <w:r w:rsidR="00A565CA">
              <w:rPr>
                <w:b/>
              </w:rPr>
              <w:t xml:space="preserve"> – odpowiednio do każdej pozycji </w:t>
            </w:r>
            <w:r w:rsidR="00690CED">
              <w:rPr>
                <w:b/>
              </w:rPr>
              <w:t>tabliczek</w:t>
            </w:r>
            <w:r w:rsidRPr="00B842EC">
              <w:rPr>
                <w:b/>
              </w:rPr>
              <w:t>)</w:t>
            </w:r>
          </w:p>
          <w:p w:rsidR="00D423A2" w:rsidRPr="00A565CA" w:rsidRDefault="00D423A2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B842EC" w:rsidRDefault="00A565CA" w:rsidP="00690CED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lastRenderedPageBreak/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  <w:p w:rsidR="00B90F69" w:rsidRPr="00B842EC" w:rsidRDefault="00B90F69" w:rsidP="00F33FC2">
            <w:pPr>
              <w:autoSpaceDE w:val="0"/>
              <w:autoSpaceDN w:val="0"/>
              <w:adjustRightInd w:val="0"/>
              <w:jc w:val="both"/>
            </w:pPr>
            <w:r>
              <w:t>Wszystkie wymiary +/- 10%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1. Tablica informacyjna – 1 szt. - tablica zbiorcza ścienna do głównego holu szpitala, zawierająca informacje o położeniu oddziałów, ułatwiająca orientację w obiekcie, z podświetleniem LED, wym. 130 cm x 130 cm, wykonana z wysokiej jakości tworzywa sztucznego, projekt wykonania i kolor do wyboru Zamawiającego.</w:t>
            </w:r>
          </w:p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2. Tabliczka informacyjna - oznakowanie wszystkich drzwi do pomieszczeń, szatni, rejestracji, łazienek, z możliwością wymiany danych, projekt wykonania i kolor do wyboru Zamawiającego.</w:t>
            </w:r>
          </w:p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- 6 szt. tabliczki informacyjne wykonane z wysokiej jakości profili aluminiowych w kolorze srebrnym anodowanym i tafli szkła hartowanego, posiadające możliwość montażu na kołki szybkiego montażu lub na piankę dwustronnie klejącą, montaż obok lub bezpośrednio na drzwiach</w:t>
            </w:r>
          </w:p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- wym. 24 cm x 17 cm –  orientacja pozioma, z możliwością wymiany danych – na podanym formacie znajdować się powinien  „jeden profil wymienny”, wsuw do wymiany informacji – górny/  (pomieszczenia: punkt rejestracji pacjentów, gabinet izolatki x2, gabinet przyjęć, gabinet lekarski, szatnia dla pacjentów)</w:t>
            </w:r>
          </w:p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- 2 szt. wym. 45 cm x 20 cm – orientacja pozioma, tworzywo sztuczne, trwałe, łatwe do utrzymania w czystości, odporne na środki do dezynfekcji, montaż na kołki</w:t>
            </w:r>
          </w:p>
          <w:p w:rsidR="00690CED" w:rsidRDefault="00690CED" w:rsidP="00690CED">
            <w:pPr>
              <w:pStyle w:val="NormalnyWeb"/>
              <w:spacing w:before="100" w:beforeAutospacing="1"/>
              <w:jc w:val="both"/>
            </w:pPr>
            <w:r>
              <w:t>- 18 szt. wym. 12 cm x 17 cm –  orientacja pozioma, tworzywo sztuczne, trwałe, łatwe do utrzymania w czystości, odporne na środki do dezynfekcji, montaż na taśmę</w:t>
            </w:r>
          </w:p>
          <w:p w:rsidR="00EC2E2F" w:rsidRPr="00514B2E" w:rsidRDefault="00690CED" w:rsidP="00690CED">
            <w:pPr>
              <w:pStyle w:val="NormalnyWeb"/>
              <w:spacing w:before="100" w:beforeAutospacing="1"/>
              <w:jc w:val="both"/>
            </w:pPr>
            <w:r>
              <w:t>- 1 szt. wym. 24  cm x 17 cm –  orientacja pozioma, tworzywo sztuczne, trwałe, łatwe do utrzymania w czystości, odporne na środki do dezynfekcji, montaż na taśmę.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1F77D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514B2E">
            <w:pPr>
              <w:jc w:val="both"/>
            </w:pPr>
            <w:r>
              <w:t>Dostawa wraz z montażem</w:t>
            </w:r>
            <w:r w:rsidR="00514B2E">
              <w:t>.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>Wraz z dostawą Wykonawca dost</w:t>
            </w:r>
            <w:r w:rsidR="00EC1AFF">
              <w:t>arczy</w:t>
            </w:r>
            <w:r w:rsidR="001476FA">
              <w:t xml:space="preserve"> kartę gwarancyjną, </w:t>
            </w:r>
            <w:r w:rsidRPr="00B535BA">
              <w:t>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E354DD">
        <w:rPr>
          <w:b/>
        </w:rPr>
        <w:t>Wyposażenie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E354DD">
        <w:rPr>
          <w:b/>
        </w:rPr>
        <w:t>wyposażenie</w:t>
      </w:r>
      <w:r w:rsidR="00130E6B">
        <w:rPr>
          <w:b/>
        </w:rPr>
        <w:t xml:space="preserve"> </w:t>
      </w:r>
      <w:r>
        <w:t>mus</w:t>
      </w:r>
      <w:r w:rsidR="00E354DD">
        <w:t>i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</w:t>
      </w:r>
      <w:r w:rsidR="00E354DD">
        <w:t>jego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E354DD">
        <w:rPr>
          <w:b/>
        </w:rPr>
        <w:t>Wyposażenia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lastRenderedPageBreak/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C576B0">
        <w:rPr>
          <w:rFonts w:eastAsia="Arial"/>
          <w:b/>
          <w:iCs/>
          <w:lang w:eastAsia="ar-SA"/>
        </w:rPr>
        <w:t>15.06.2021 r.,</w:t>
      </w:r>
      <w:r w:rsidRPr="007B022B">
        <w:rPr>
          <w:rFonts w:eastAsia="Arial"/>
          <w:b/>
          <w:iCs/>
          <w:lang w:eastAsia="ar-SA"/>
        </w:rPr>
        <w:t xml:space="preserve">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nie zamierzam/y / zamierzam/y powierzyć podwykonawcom wykonanie następujących części </w:t>
      </w:r>
      <w:r w:rsidRPr="000C6FF3">
        <w:rPr>
          <w:rFonts w:eastAsia="Arial"/>
          <w:szCs w:val="22"/>
          <w:lang w:eastAsia="ar-SA"/>
        </w:rPr>
        <w:lastRenderedPageBreak/>
        <w:t>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FD" w:rsidRDefault="00BF40FD">
      <w:r>
        <w:separator/>
      </w:r>
    </w:p>
  </w:endnote>
  <w:endnote w:type="continuationSeparator" w:id="0">
    <w:p w:rsidR="00BF40FD" w:rsidRDefault="00B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FD" w:rsidRDefault="00BF40FD">
      <w:r>
        <w:separator/>
      </w:r>
    </w:p>
  </w:footnote>
  <w:footnote w:type="continuationSeparator" w:id="0">
    <w:p w:rsidR="00BF40FD" w:rsidRDefault="00BF40FD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4F71DA7"/>
    <w:multiLevelType w:val="hybridMultilevel"/>
    <w:tmpl w:val="C1960CCC"/>
    <w:lvl w:ilvl="0" w:tplc="0C6022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25D2AEA"/>
    <w:multiLevelType w:val="hybridMultilevel"/>
    <w:tmpl w:val="FBC8CC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33F1C24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6398F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E0FFE"/>
    <w:multiLevelType w:val="hybridMultilevel"/>
    <w:tmpl w:val="50F2CB9A"/>
    <w:lvl w:ilvl="0" w:tplc="0415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1C1452F6"/>
    <w:multiLevelType w:val="hybridMultilevel"/>
    <w:tmpl w:val="0F1E3F16"/>
    <w:lvl w:ilvl="0" w:tplc="B664C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0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C4F8F"/>
    <w:multiLevelType w:val="hybridMultilevel"/>
    <w:tmpl w:val="B9F0D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3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E50B8"/>
    <w:multiLevelType w:val="multilevel"/>
    <w:tmpl w:val="34366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39"/>
  </w:num>
  <w:num w:numId="5">
    <w:abstractNumId w:val="8"/>
  </w:num>
  <w:num w:numId="6">
    <w:abstractNumId w:val="38"/>
  </w:num>
  <w:num w:numId="7">
    <w:abstractNumId w:val="4"/>
  </w:num>
  <w:num w:numId="8">
    <w:abstractNumId w:val="14"/>
  </w:num>
  <w:num w:numId="9">
    <w:abstractNumId w:val="26"/>
  </w:num>
  <w:num w:numId="10">
    <w:abstractNumId w:val="17"/>
  </w:num>
  <w:num w:numId="11">
    <w:abstractNumId w:val="47"/>
  </w:num>
  <w:num w:numId="12">
    <w:abstractNumId w:val="49"/>
  </w:num>
  <w:num w:numId="13">
    <w:abstractNumId w:val="23"/>
  </w:num>
  <w:num w:numId="14">
    <w:abstractNumId w:val="44"/>
  </w:num>
  <w:num w:numId="15">
    <w:abstractNumId w:val="36"/>
  </w:num>
  <w:num w:numId="16">
    <w:abstractNumId w:val="6"/>
  </w:num>
  <w:num w:numId="17">
    <w:abstractNumId w:val="31"/>
  </w:num>
  <w:num w:numId="18">
    <w:abstractNumId w:val="27"/>
  </w:num>
  <w:num w:numId="19">
    <w:abstractNumId w:val="33"/>
  </w:num>
  <w:num w:numId="20">
    <w:abstractNumId w:val="11"/>
  </w:num>
  <w:num w:numId="21">
    <w:abstractNumId w:val="35"/>
  </w:num>
  <w:num w:numId="22">
    <w:abstractNumId w:val="21"/>
  </w:num>
  <w:num w:numId="23">
    <w:abstractNumId w:val="7"/>
  </w:num>
  <w:num w:numId="24">
    <w:abstractNumId w:val="20"/>
  </w:num>
  <w:num w:numId="25">
    <w:abstractNumId w:val="25"/>
  </w:num>
  <w:num w:numId="26">
    <w:abstractNumId w:val="48"/>
  </w:num>
  <w:num w:numId="27">
    <w:abstractNumId w:val="13"/>
  </w:num>
  <w:num w:numId="28">
    <w:abstractNumId w:val="29"/>
  </w:num>
  <w:num w:numId="29">
    <w:abstractNumId w:val="46"/>
  </w:num>
  <w:num w:numId="30">
    <w:abstractNumId w:val="18"/>
  </w:num>
  <w:num w:numId="31">
    <w:abstractNumId w:val="43"/>
  </w:num>
  <w:num w:numId="32">
    <w:abstractNumId w:val="42"/>
  </w:num>
  <w:num w:numId="33">
    <w:abstractNumId w:val="19"/>
  </w:num>
  <w:num w:numId="34">
    <w:abstractNumId w:val="5"/>
  </w:num>
  <w:num w:numId="35">
    <w:abstractNumId w:val="37"/>
  </w:num>
  <w:num w:numId="36">
    <w:abstractNumId w:val="30"/>
  </w:num>
  <w:num w:numId="37">
    <w:abstractNumId w:val="24"/>
  </w:num>
  <w:num w:numId="38">
    <w:abstractNumId w:val="34"/>
  </w:num>
  <w:num w:numId="39">
    <w:abstractNumId w:val="28"/>
  </w:num>
  <w:num w:numId="40">
    <w:abstractNumId w:val="3"/>
  </w:num>
  <w:num w:numId="41">
    <w:abstractNumId w:val="22"/>
  </w:num>
  <w:num w:numId="42">
    <w:abstractNumId w:val="9"/>
  </w:num>
  <w:num w:numId="43">
    <w:abstractNumId w:val="10"/>
  </w:num>
  <w:num w:numId="44">
    <w:abstractNumId w:val="12"/>
  </w:num>
  <w:num w:numId="45">
    <w:abstractNumId w:val="41"/>
  </w:num>
  <w:num w:numId="46">
    <w:abstractNumId w:val="16"/>
  </w:num>
  <w:num w:numId="47">
    <w:abstractNumId w:val="45"/>
  </w:num>
  <w:num w:numId="48">
    <w:abstractNumId w:val="2"/>
  </w:num>
  <w:num w:numId="4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7D2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5FE7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1802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87292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14B2E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1D71"/>
    <w:rsid w:val="005C7F97"/>
    <w:rsid w:val="005D7919"/>
    <w:rsid w:val="005E3325"/>
    <w:rsid w:val="005E5812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0CED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313F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3364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4D0A"/>
    <w:rsid w:val="00A44D37"/>
    <w:rsid w:val="00A51C18"/>
    <w:rsid w:val="00A52E27"/>
    <w:rsid w:val="00A53000"/>
    <w:rsid w:val="00A565CA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70A0"/>
    <w:rsid w:val="00B703BE"/>
    <w:rsid w:val="00B8611C"/>
    <w:rsid w:val="00B90F69"/>
    <w:rsid w:val="00B94651"/>
    <w:rsid w:val="00B947A1"/>
    <w:rsid w:val="00BA3719"/>
    <w:rsid w:val="00BA6B78"/>
    <w:rsid w:val="00BB33E5"/>
    <w:rsid w:val="00BB7B76"/>
    <w:rsid w:val="00BC041F"/>
    <w:rsid w:val="00BC23B2"/>
    <w:rsid w:val="00BC731E"/>
    <w:rsid w:val="00BE0C5B"/>
    <w:rsid w:val="00BE0ECB"/>
    <w:rsid w:val="00BF40FD"/>
    <w:rsid w:val="00BF7397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576B0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A63E3"/>
    <w:rsid w:val="00CB150B"/>
    <w:rsid w:val="00CB7F6F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354D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43D7"/>
    <w:rsid w:val="00E909D8"/>
    <w:rsid w:val="00EB14CB"/>
    <w:rsid w:val="00EC1AFF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7FAB"/>
    <w:rsid w:val="00F8099F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8E7F1-0258-4B63-8429-267BD80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4B5B-34DE-427E-8FA4-436AB47A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2020-12-31T11:17:00Z</dcterms:created>
  <dcterms:modified xsi:type="dcterms:W3CDTF">2020-12-31T11:17:00Z</dcterms:modified>
</cp:coreProperties>
</file>