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9053E2" w:rsidRPr="009053E2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CD45AD" w:rsidRPr="00CD45AD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  <w:bookmarkStart w:id="0" w:name="_GoBack"/>
      <w:bookmarkEnd w:id="0"/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FORMULARZ OFERTY – Część</w:t>
      </w:r>
      <w:r w:rsidR="00944561">
        <w:rPr>
          <w:rFonts w:ascii="Times New Roman" w:hAnsi="Times New Roman" w:cs="Times New Roman"/>
          <w:b/>
          <w:bCs/>
          <w:sz w:val="24"/>
        </w:rPr>
        <w:t xml:space="preserve"> </w:t>
      </w:r>
      <w:r w:rsidR="00590182">
        <w:rPr>
          <w:rFonts w:ascii="Times New Roman" w:hAnsi="Times New Roman" w:cs="Times New Roman"/>
          <w:b/>
          <w:bCs/>
          <w:sz w:val="24"/>
        </w:rPr>
        <w:t>8</w:t>
      </w:r>
    </w:p>
    <w:p w:rsidR="000F3AB0" w:rsidRDefault="00590182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182">
        <w:rPr>
          <w:rFonts w:ascii="Times New Roman" w:hAnsi="Times New Roman" w:cs="Times New Roman"/>
          <w:b/>
          <w:bCs/>
          <w:sz w:val="24"/>
          <w:szCs w:val="24"/>
        </w:rPr>
        <w:t>Kardiomonitor</w:t>
      </w:r>
    </w:p>
    <w:p w:rsidR="00590182" w:rsidRDefault="00590182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</w:t>
      </w:r>
      <w:r w:rsidR="00944561">
        <w:rPr>
          <w:rFonts w:eastAsia="Calibri"/>
          <w:b/>
        </w:rPr>
        <w:t>–</w:t>
      </w:r>
      <w:r>
        <w:rPr>
          <w:rFonts w:eastAsia="Calibri"/>
          <w:b/>
        </w:rPr>
        <w:t xml:space="preserve"> </w:t>
      </w:r>
      <w:r w:rsidR="00590182" w:rsidRPr="00590182">
        <w:rPr>
          <w:rFonts w:eastAsia="Calibri"/>
          <w:b/>
        </w:rPr>
        <w:t>Kardiomonitor</w:t>
      </w:r>
      <w:r w:rsidR="006B759A" w:rsidRPr="006B759A">
        <w:rPr>
          <w:rFonts w:eastAsia="Calibri"/>
          <w:b/>
        </w:rPr>
        <w:t xml:space="preserve">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6B75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0F3AB0" w:rsidRPr="007B431F" w:rsidRDefault="000F3AB0" w:rsidP="000F3AB0">
      <w:pPr>
        <w:pStyle w:val="Akapitzlist"/>
        <w:widowControl w:val="0"/>
        <w:ind w:left="1080"/>
        <w:jc w:val="center"/>
        <w:rPr>
          <w:sz w:val="22"/>
          <w:szCs w:val="22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8874"/>
      </w:tblGrid>
      <w:tr w:rsidR="00590182" w:rsidRPr="00590182" w:rsidTr="008B6080">
        <w:trPr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590182">
              <w:rPr>
                <w:b/>
                <w:sz w:val="22"/>
                <w:szCs w:val="22"/>
              </w:rPr>
              <w:t>Kardiomonitor – 1 szt.</w:t>
            </w:r>
          </w:p>
          <w:p w:rsidR="00590182" w:rsidRPr="00590182" w:rsidRDefault="00590182" w:rsidP="00590182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590182">
              <w:rPr>
                <w:b/>
                <w:sz w:val="22"/>
                <w:szCs w:val="22"/>
              </w:rPr>
              <w:t>(poniższe informacje wpisuje Wykonawca)</w:t>
            </w:r>
          </w:p>
          <w:p w:rsidR="00590182" w:rsidRPr="00590182" w:rsidRDefault="00590182" w:rsidP="00590182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90182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590182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590182" w:rsidRPr="00590182" w:rsidTr="008B6080">
        <w:trPr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0182">
              <w:rPr>
                <w:sz w:val="22"/>
                <w:szCs w:val="22"/>
              </w:rPr>
              <w:t>A - Monitor</w:t>
            </w:r>
          </w:p>
        </w:tc>
      </w:tr>
      <w:tr w:rsidR="00590182" w:rsidRPr="00590182" w:rsidTr="008B608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2" w:rsidRPr="00590182" w:rsidRDefault="00590182" w:rsidP="008B6080">
            <w:pPr>
              <w:pStyle w:val="Textbody"/>
              <w:tabs>
                <w:tab w:val="left" w:pos="94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Budowa: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lastRenderedPageBreak/>
              <w:t>modułowa z wymiennymi modułami podłączanymi podczas pracy z automatyczną rekonfiguracją ekranu uwzględniającą pojawienie się nowych parametrów pomiarowych. Poprzez moduł pomiarowy należy rozumieć moduł jedno lub wieloparametrowy w postaci kostki wsuwany do ramy urządzenia,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każdy kardiomonitor wyposażony w element/moduł transportowy posiadający wbudowany ekran lub współpracujący z ekranem zewnętrznym (w takim przypadku wymaga się dostarczenia 1 szt. dodatkowego ekranu na całą instalację), podczas transportu wymagane również monitorowanie kapnometrii,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konwekcyjne chłodzenie monitora,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ekran LCD TFT o przekątnej min. 15" (obraz o rozdzielczości min. 1024x768 pikseli), do prezentacji min. 8 krzywych jednocześnie.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do dwóch najdalej odległych stanowisk ułatwiający obserwację ekran kopiujący min 28” (ewentualnie 2szt. min 15”) z uchwytem do zamontowania w miejscu wyznaczonym w projekcie budowlanym,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uchwyty mocujące kardiomonitory na jednostkach zasilających przy każdym stanowisku.</w:t>
            </w:r>
          </w:p>
        </w:tc>
      </w:tr>
      <w:tr w:rsidR="00590182" w:rsidRPr="00590182" w:rsidTr="008B608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2" w:rsidRPr="00590182" w:rsidRDefault="00590182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90182">
              <w:rPr>
                <w:sz w:val="22"/>
                <w:szCs w:val="22"/>
              </w:rPr>
              <w:t>Wymagana komunikacja:</w:t>
            </w:r>
          </w:p>
          <w:p w:rsidR="00590182" w:rsidRPr="00590182" w:rsidRDefault="00590182" w:rsidP="00590182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90182">
              <w:rPr>
                <w:rFonts w:eastAsia="Calibri"/>
                <w:sz w:val="22"/>
                <w:szCs w:val="22"/>
              </w:rPr>
              <w:t>język polski,</w:t>
            </w:r>
          </w:p>
          <w:p w:rsidR="00590182" w:rsidRPr="00590182" w:rsidRDefault="00590182" w:rsidP="00590182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90182">
              <w:rPr>
                <w:rFonts w:eastAsia="Calibri"/>
                <w:sz w:val="22"/>
                <w:szCs w:val="22"/>
              </w:rPr>
              <w:t>podłączenie min. 15" ekranu powielającego,</w:t>
            </w:r>
          </w:p>
          <w:p w:rsidR="00590182" w:rsidRPr="00590182" w:rsidRDefault="00590182" w:rsidP="00590182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90182">
              <w:rPr>
                <w:rFonts w:eastAsia="Calibri"/>
                <w:sz w:val="22"/>
                <w:szCs w:val="22"/>
              </w:rPr>
              <w:t>wyjście analogowe EKG,</w:t>
            </w:r>
          </w:p>
          <w:p w:rsidR="00590182" w:rsidRPr="00590182" w:rsidRDefault="00590182" w:rsidP="00590182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90182">
              <w:rPr>
                <w:rFonts w:eastAsia="Calibri"/>
                <w:sz w:val="22"/>
                <w:szCs w:val="22"/>
              </w:rPr>
              <w:t>wyjście inwazyjnego pomiaru ciśnienia i synchronizacji defibrylatora.</w:t>
            </w:r>
          </w:p>
        </w:tc>
      </w:tr>
      <w:tr w:rsidR="00590182" w:rsidRPr="00590182" w:rsidTr="008B608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2" w:rsidRPr="00590182" w:rsidRDefault="00590182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90182">
              <w:rPr>
                <w:sz w:val="22"/>
                <w:szCs w:val="22"/>
              </w:rPr>
              <w:t>Sterowanie poprzez:</w:t>
            </w:r>
          </w:p>
          <w:p w:rsidR="00590182" w:rsidRPr="00590182" w:rsidRDefault="00590182" w:rsidP="00590182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90182">
              <w:rPr>
                <w:rFonts w:eastAsia="Calibri"/>
                <w:sz w:val="22"/>
                <w:szCs w:val="22"/>
              </w:rPr>
              <w:t>ekran dotykowy i pokrętło,</w:t>
            </w:r>
          </w:p>
          <w:p w:rsidR="00590182" w:rsidRPr="00590182" w:rsidRDefault="00590182" w:rsidP="00590182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90182">
              <w:rPr>
                <w:rFonts w:eastAsia="Calibri"/>
                <w:sz w:val="22"/>
                <w:szCs w:val="22"/>
              </w:rPr>
              <w:t>klawiaturę (port USB lub bezprzewodowa),</w:t>
            </w:r>
          </w:p>
          <w:p w:rsidR="00590182" w:rsidRPr="00590182" w:rsidRDefault="00590182" w:rsidP="00590182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90182">
              <w:rPr>
                <w:rFonts w:eastAsia="Calibri"/>
                <w:sz w:val="22"/>
                <w:szCs w:val="22"/>
              </w:rPr>
              <w:t>dotykowy ekran powielający,</w:t>
            </w:r>
          </w:p>
          <w:p w:rsidR="00590182" w:rsidRPr="00590182" w:rsidRDefault="00590182" w:rsidP="00590182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90182">
              <w:rPr>
                <w:rFonts w:eastAsia="Calibri"/>
                <w:sz w:val="22"/>
                <w:szCs w:val="22"/>
              </w:rPr>
              <w:t>dodatkowy pilot zdalnego sterowania,</w:t>
            </w:r>
          </w:p>
          <w:p w:rsidR="00590182" w:rsidRPr="00590182" w:rsidRDefault="00590182" w:rsidP="00590182">
            <w:pPr>
              <w:pStyle w:val="Akapitzlist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90182">
              <w:rPr>
                <w:rFonts w:eastAsia="Calibri"/>
                <w:sz w:val="22"/>
                <w:szCs w:val="22"/>
              </w:rPr>
              <w:t>przyciski na modułach.</w:t>
            </w:r>
          </w:p>
        </w:tc>
      </w:tr>
      <w:tr w:rsidR="00590182" w:rsidRPr="00590182" w:rsidTr="008B608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2" w:rsidRPr="00590182" w:rsidRDefault="00590182" w:rsidP="008B6080">
            <w:pPr>
              <w:pStyle w:val="Textbody"/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Programowanie, zakresy badań: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możliwość zaprogramowania min. 20 różnych konfiguracji monitora (ustawie-nia ekranu i granic alarmowych) w postaci profili i stron,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pomiar EKG,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wybór ilości monitorowanych odprowadzeń co najmniej: 3, 7, 12 odprowadzeń, w zależności od użytego kabla EKG,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jednoczesna prezentacja min. 3 odprowadzeń EKG przy rejestracji EKG z 5 elektrod,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jednoczesna prezentacja wszystkich 12 odprowadzeń EKG przy zastosowaniu dedykowanego kabla pomiarowego,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analiza arytmii jednocześnie z co najmniej czterech odprowadzeń,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pomiar akcji serca w zakresie min. 30-300 ud/min.,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podstawowa analiza arytmii,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analiza odcinka ST ze wszystkich monitorowanych odprowadzeń,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zakres pomiarowy analizy odcinka ST min. -20,0 -(+) 20,0 mm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pomiar częstości oddechu metodą impedancyjną w zakresie min. 4-120 0dd/min., prezentacja krzywej oddechowej i respiracji,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pomiar saturacji w zakresie min. od 0-100%. Prezentacja krzywej pletyzmogra-ficznej i %SpO2. Modulacja dźwięku przy zmianie wartości % SpO2.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pomiar ciśnienia tętniczego metodą oscylometryczną, pomiar ręczny i automa-tyczny, zakres pomiarowy w zakresie co najmniej: 15-260 mmHg. Maksymalny czas pomiaru dla dorosłych nie przekraczający 120 sekund, Pomiar automa-tyczny z regulowanym interwałem w zakresie min. 1-240 min. Prezentacja wartości: skurczowej, rozkurczowej oraz średniej. Pomiar rytmu serca: min. 30-250 ud./min. Rozpoczęcie pomiaru (cyklu pomiarowego) za pomocą jednego przycisku na ekranie lub module,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pomiar ciśnienia metodą inwazyjną: min. 2 kanały pomiarowe, w zakresie min. -40 do 320 mmHg. Możliwość wybrania różnych etykiet nazw ciśnień inwazyj-nych - w tym ciśnienia wewnątrzczaszkowego wraz z automatycznym doborem skal i ustawień dla poszczególnych ciśnień. Kursor krzywej inwazyjnego pomiaru ciśnienia wraz z możliwością zapisania i wyświetlania do min. 10 punktów pomiarowych,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 xml:space="preserve">moduł do małoinwazyjnego monitorowania hemodynamicznego metodą PICCO, min 1 </w:t>
            </w:r>
            <w:r w:rsidRPr="00590182">
              <w:rPr>
                <w:rFonts w:ascii="Times New Roman" w:hAnsi="Times New Roman"/>
              </w:rPr>
              <w:lastRenderedPageBreak/>
              <w:t>na 3 monitory,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pomiar temperatury, dwa tory pomiarowe, prezentacja 3 wartości temperatur: T1, T2, ΔT,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monitorowania ciśnienia wewnątrzczaszkowego, min 1 na 6 stanowisk,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obliczenia hemodynamiczne, utlenowania oraz wentylacji,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kalkulator dawek leków,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trendy graficzne i tabelaryczne wszystkich parametrów min. 72 godzinne,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0"/>
              </w:numPr>
              <w:tabs>
                <w:tab w:val="left" w:pos="951"/>
              </w:tabs>
              <w:suppressAutoHyphens w:val="0"/>
              <w:autoSpaceDN w:val="0"/>
              <w:spacing w:line="257" w:lineRule="auto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min. 400 zapamiętywanych wycinków krzywych mierzonych parametrów - zapis automatyczny w chwili alarmu lub ręczny po przyciśnięciu przycisku funkcyjnego.</w:t>
            </w:r>
          </w:p>
        </w:tc>
      </w:tr>
      <w:tr w:rsidR="00590182" w:rsidRPr="00590182" w:rsidTr="008B608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2" w:rsidRPr="00590182" w:rsidRDefault="00590182" w:rsidP="008B6080">
            <w:pPr>
              <w:pStyle w:val="Textbody"/>
              <w:tabs>
                <w:tab w:val="left" w:pos="33"/>
                <w:tab w:val="left" w:pos="156"/>
              </w:tabs>
              <w:ind w:right="21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Wymagane zabezpieczenia: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wizualny wskaźnik alarmów,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wskaźnik niedostatecznej jakości sygnału przy pomiarze saturacji,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układy alarmowe najważniejszych parametrów,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alarmy na przynajmniej 3 poziomach ważności,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zablokowanie funkcji całkowitego wyłączenia bądź wyciszenia alarmów - za-bezpieczone hasłem,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line="256" w:lineRule="auto"/>
              <w:ind w:right="21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automatyczne przesłanie alarmu wraz z identyfikacją łóżka pacjenta oraz podglądem ekranu do innych kardiomonitorów w sieci monitorowania z możliwością ustawienia czasu, po którym następuje przesłanie alarmu,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5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40" w:lineRule="auto"/>
              <w:ind w:right="21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kilkustopniowe wyciszanie alarmów .</w:t>
            </w:r>
          </w:p>
        </w:tc>
      </w:tr>
      <w:tr w:rsidR="00590182" w:rsidRPr="00590182" w:rsidTr="008B608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2" w:rsidRPr="00590182" w:rsidRDefault="00590182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Wymagane funkcje: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56" w:lineRule="auto"/>
              <w:ind w:left="714" w:right="21" w:hanging="357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stazy żylnej,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56" w:lineRule="auto"/>
              <w:ind w:left="714" w:right="21" w:hanging="357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kompensacji artefaktów wywołanych przez spontaniczną lub kontrolowaną wentylację,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56" w:lineRule="auto"/>
              <w:ind w:left="714" w:right="21" w:hanging="357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praca w sieci centralnego monitorowania,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1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57" w:lineRule="auto"/>
              <w:ind w:left="714" w:right="21" w:hanging="357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podgląd ekranu innego monitora pracującego w sieci w przypadku wyłączonej centrali.</w:t>
            </w:r>
          </w:p>
        </w:tc>
      </w:tr>
      <w:tr w:rsidR="00590182" w:rsidRPr="00590182" w:rsidTr="008B608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2" w:rsidRPr="00590182" w:rsidRDefault="00590182" w:rsidP="008B6080">
            <w:pPr>
              <w:pStyle w:val="Textbody"/>
              <w:tabs>
                <w:tab w:val="left" w:pos="33"/>
                <w:tab w:val="left" w:pos="152"/>
                <w:tab w:val="left" w:pos="294"/>
              </w:tabs>
              <w:spacing w:line="257" w:lineRule="auto"/>
              <w:ind w:right="23"/>
              <w:contextualSpacing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Dodatkowe wymagania: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możliwość rozbudowy o sieć bezprzewodową,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program do pomiaru i opisowej analizy spoczynkowego 12-odprowadzeniowego EKG uwzględniającego kryteria dla płci i wieku, z funkcją niezależnej czasowo predykcji ostrego zespołu wieńcowego (ACI-TIPI) z możliwością przesłania danych do zewnętrznych systemów archiwizujących,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ciągłe monitorowanie i wyświetlanie wartości odcinka QT/QTc na ekranie kardiomonitora,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możliwość wyboru SPO2 jako źródła częstości rytmu serca,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pomiaru parametrów PPV i SPV automatycznie z krzywej ciśnienia,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możliwość ustawienia etykiet temperatur wg miejsca pomiaru - w tym wpisa-nie własnych nazw etykiet,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możliwość rozbudowy o pomiar głębokości znieczulenia za pomocą modułu wymiennego pomiędzy stanowiskami, sterowanie poprzez monitor pacjenta,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pomiar kapnografii w strumieniu bocznym za pomocą modułu wymiennego pomiędzy stanowiskami bez udziału serwisu, w każdym monitorze,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możliwość podłączenia skanera kodów kreskowych,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możliwość podłączenia i wyświetlania danych z innych urządzeń (respirato-rów, pulsoksymetrów, monitorów rzutu serca etc.)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możliwość drukowania krzywych, raportów, wyników obliczeń na podłączonej do monitora tradycyjnej drukarce laserowej lub rejestratorze (z opcją wydruku do min. 4 przebiegów),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możliwość dodawania zdarzeń wraz z opisem,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2"/>
                <w:tab w:val="left" w:pos="294"/>
              </w:tabs>
              <w:suppressAutoHyphens w:val="0"/>
              <w:autoSpaceDN w:val="0"/>
              <w:spacing w:line="257" w:lineRule="auto"/>
              <w:ind w:right="23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możliwość zdalnego dostępu do kardiomonitora przez serwis za pomocą sieci Internet w celu wstępnej diagnostyki, zmiany ustawień.</w:t>
            </w:r>
          </w:p>
        </w:tc>
      </w:tr>
      <w:tr w:rsidR="00590182" w:rsidRPr="00590182" w:rsidTr="008B608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2" w:rsidRPr="00590182" w:rsidRDefault="00590182" w:rsidP="008B6080">
            <w:pPr>
              <w:pStyle w:val="Standard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90182">
              <w:rPr>
                <w:rFonts w:ascii="Times New Roman" w:eastAsia="Times New Roman" w:hAnsi="Times New Roman"/>
                <w:color w:val="000000"/>
              </w:rPr>
              <w:t>Wyposażenie:</w:t>
            </w:r>
          </w:p>
          <w:p w:rsidR="00590182" w:rsidRPr="00590182" w:rsidRDefault="00590182" w:rsidP="00590182">
            <w:pPr>
              <w:pStyle w:val="Standard"/>
              <w:numPr>
                <w:ilvl w:val="0"/>
                <w:numId w:val="13"/>
              </w:numPr>
              <w:suppressAutoHyphens w:val="0"/>
              <w:autoSpaceDN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0182">
              <w:rPr>
                <w:rFonts w:ascii="Times New Roman" w:eastAsia="Times New Roman" w:hAnsi="Times New Roman"/>
              </w:rPr>
              <w:t>monitorowanie EKG - w komplecie przewód główny i przewód do 5 elektrod klipsowych do każdego monitora,</w:t>
            </w:r>
          </w:p>
          <w:p w:rsidR="00590182" w:rsidRPr="00590182" w:rsidRDefault="00590182" w:rsidP="00590182">
            <w:pPr>
              <w:pStyle w:val="Standard"/>
              <w:numPr>
                <w:ilvl w:val="0"/>
                <w:numId w:val="13"/>
              </w:numPr>
              <w:suppressAutoHyphens w:val="0"/>
              <w:autoSpaceDN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0182">
              <w:rPr>
                <w:rFonts w:ascii="Times New Roman" w:eastAsia="Times New Roman" w:hAnsi="Times New Roman"/>
              </w:rPr>
              <w:t>przewód do monitorowania 12 odprowadzeń EKG z 10 elektrod 1 szt. na 6 monitorów,</w:t>
            </w:r>
          </w:p>
          <w:p w:rsidR="00590182" w:rsidRPr="00590182" w:rsidRDefault="00590182" w:rsidP="00590182">
            <w:pPr>
              <w:pStyle w:val="Standard"/>
              <w:numPr>
                <w:ilvl w:val="0"/>
                <w:numId w:val="13"/>
              </w:numPr>
              <w:suppressAutoHyphens w:val="0"/>
              <w:autoSpaceDN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0182">
              <w:rPr>
                <w:rFonts w:ascii="Times New Roman" w:eastAsia="Times New Roman" w:hAnsi="Times New Roman"/>
              </w:rPr>
              <w:lastRenderedPageBreak/>
              <w:t>do pomiaru saturacji - w komplecie kabel główny i gumowy czujnik na palec dla dorosłych do każdego monitora, dodatkowo czujnik klips na palec dla dorosłych (3 szt. / 6 monitorów) oraz czujnik klips na ucho dla dorosłych (3 szt. / 6 monitorów),</w:t>
            </w:r>
          </w:p>
          <w:p w:rsidR="00590182" w:rsidRPr="00590182" w:rsidRDefault="00590182" w:rsidP="00590182">
            <w:pPr>
              <w:pStyle w:val="Standard"/>
              <w:numPr>
                <w:ilvl w:val="0"/>
                <w:numId w:val="13"/>
              </w:numPr>
              <w:suppressAutoHyphens w:val="0"/>
              <w:autoSpaceDN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0182">
              <w:rPr>
                <w:rFonts w:ascii="Times New Roman" w:eastAsia="Times New Roman" w:hAnsi="Times New Roman"/>
              </w:rPr>
              <w:t>do pomiaru ciśnienia tętniczego - w komplecie do każdego monitora przewód interfejsowy z szybko złączką, wielorazowe mankiety dla dorosłych w min 3 rozmiarach oraz 5 mankietów dla pacjentów otyłych,</w:t>
            </w:r>
          </w:p>
          <w:p w:rsidR="00590182" w:rsidRPr="00590182" w:rsidRDefault="00590182" w:rsidP="00590182">
            <w:pPr>
              <w:pStyle w:val="Standard"/>
              <w:numPr>
                <w:ilvl w:val="0"/>
                <w:numId w:val="13"/>
              </w:numPr>
              <w:suppressAutoHyphens w:val="0"/>
              <w:autoSpaceDN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0182">
              <w:rPr>
                <w:rFonts w:ascii="Times New Roman" w:eastAsia="Times New Roman" w:hAnsi="Times New Roman"/>
              </w:rPr>
              <w:t>pomiar ciśnienia metodą inwazyjną - w komplecie kabel główny do każdego oferowanego kanału pomiaru oraz 6szt przetworników Abbott stosowanych przez Zamawiającego, dodatkowo 2 szt. kabli z rozdzielaczem do oferowanego systemu,</w:t>
            </w:r>
          </w:p>
          <w:p w:rsidR="00590182" w:rsidRPr="00590182" w:rsidRDefault="00590182" w:rsidP="00590182">
            <w:pPr>
              <w:pStyle w:val="Standard"/>
              <w:numPr>
                <w:ilvl w:val="0"/>
                <w:numId w:val="13"/>
              </w:numPr>
              <w:suppressAutoHyphens w:val="0"/>
              <w:autoSpaceDN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0182">
              <w:rPr>
                <w:rFonts w:ascii="Times New Roman" w:eastAsia="Times New Roman" w:hAnsi="Times New Roman"/>
              </w:rPr>
              <w:t>do każdego oferowanego pomiaru PICCO kabel główny oraz po 5 szt. zestawów jednopacjentowych,</w:t>
            </w:r>
          </w:p>
          <w:p w:rsidR="00590182" w:rsidRPr="00590182" w:rsidRDefault="00590182" w:rsidP="00590182">
            <w:pPr>
              <w:pStyle w:val="Standard"/>
              <w:numPr>
                <w:ilvl w:val="0"/>
                <w:numId w:val="13"/>
              </w:numPr>
              <w:suppressAutoHyphens w:val="0"/>
              <w:autoSpaceDN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0182">
              <w:rPr>
                <w:rFonts w:ascii="Times New Roman" w:eastAsia="Times New Roman" w:hAnsi="Times New Roman"/>
              </w:rPr>
              <w:t>kabel główny do pomiaru ICP,</w:t>
            </w:r>
          </w:p>
          <w:p w:rsidR="00590182" w:rsidRPr="00590182" w:rsidRDefault="00590182" w:rsidP="00590182">
            <w:pPr>
              <w:pStyle w:val="Standard"/>
              <w:numPr>
                <w:ilvl w:val="0"/>
                <w:numId w:val="13"/>
              </w:numPr>
              <w:suppressAutoHyphens w:val="0"/>
              <w:autoSpaceDN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0182">
              <w:rPr>
                <w:rFonts w:ascii="Times New Roman" w:eastAsia="Times New Roman" w:hAnsi="Times New Roman"/>
              </w:rPr>
              <w:t>czujnik temperatury powierzchniowy oraz czujnik temperatury centralnej przezprzełykowy / rektalny do każdego monitora,</w:t>
            </w:r>
          </w:p>
          <w:p w:rsidR="00590182" w:rsidRPr="00590182" w:rsidRDefault="00590182" w:rsidP="00590182">
            <w:pPr>
              <w:pStyle w:val="Standard"/>
              <w:numPr>
                <w:ilvl w:val="0"/>
                <w:numId w:val="13"/>
              </w:numPr>
              <w:suppressAutoHyphens w:val="0"/>
              <w:autoSpaceDN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90182">
              <w:rPr>
                <w:rFonts w:ascii="Times New Roman" w:eastAsia="Times New Roman" w:hAnsi="Times New Roman"/>
              </w:rPr>
              <w:t>uchwyt mocujący do jednostki zasilającej stanowisko pacjenta posiadanej przez Zamawiającego do każdego monitora.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3"/>
              </w:numPr>
              <w:tabs>
                <w:tab w:val="left" w:pos="33"/>
                <w:tab w:val="left" w:pos="156"/>
                <w:tab w:val="left" w:pos="8060"/>
              </w:tabs>
              <w:suppressAutoHyphens w:val="0"/>
              <w:autoSpaceDN w:val="0"/>
              <w:spacing w:after="0" w:line="256" w:lineRule="auto"/>
              <w:ind w:left="714" w:right="21" w:hanging="357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eastAsia="Times New Roman" w:hAnsi="Times New Roman"/>
              </w:rPr>
              <w:t>stojak jezdny z półką n drukarkę.</w:t>
            </w:r>
          </w:p>
        </w:tc>
      </w:tr>
      <w:tr w:rsidR="00590182" w:rsidRPr="00590182" w:rsidTr="008B608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2" w:rsidRPr="00590182" w:rsidRDefault="00590182" w:rsidP="008B6080">
            <w:pPr>
              <w:pStyle w:val="Textbody"/>
              <w:tabs>
                <w:tab w:val="left" w:pos="33"/>
                <w:tab w:val="left" w:pos="156"/>
                <w:tab w:val="left" w:pos="384"/>
              </w:tabs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Zasilanie: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4"/>
              </w:numPr>
              <w:tabs>
                <w:tab w:val="left" w:pos="33"/>
                <w:tab w:val="left" w:pos="156"/>
                <w:tab w:val="left" w:pos="384"/>
              </w:tabs>
              <w:suppressAutoHyphens w:val="0"/>
              <w:autoSpaceDN w:val="0"/>
              <w:spacing w:after="0" w:line="257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sieciowe - standardowe,</w:t>
            </w:r>
          </w:p>
          <w:p w:rsidR="00590182" w:rsidRPr="00590182" w:rsidRDefault="00590182" w:rsidP="00590182">
            <w:pPr>
              <w:pStyle w:val="Textbody"/>
              <w:numPr>
                <w:ilvl w:val="0"/>
                <w:numId w:val="14"/>
              </w:numPr>
              <w:tabs>
                <w:tab w:val="left" w:pos="33"/>
                <w:tab w:val="left" w:pos="156"/>
                <w:tab w:val="left" w:pos="384"/>
              </w:tabs>
              <w:suppressAutoHyphens w:val="0"/>
              <w:autoSpaceDN w:val="0"/>
              <w:spacing w:after="0" w:line="257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590182">
              <w:rPr>
                <w:rFonts w:ascii="Times New Roman" w:hAnsi="Times New Roman"/>
              </w:rPr>
              <w:t>z wewnętrznego akumulatora na min. 60 minut. Graficzny wskaźnik naładowania akumulatora na ekranie oraz wskaźnik bezpośrednio na akumulatorze.</w:t>
            </w:r>
          </w:p>
        </w:tc>
      </w:tr>
      <w:tr w:rsidR="00590182" w:rsidRPr="00590182" w:rsidTr="008B6080">
        <w:trPr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2" w:rsidRPr="00590182" w:rsidRDefault="00590182" w:rsidP="008B6080">
            <w:pPr>
              <w:jc w:val="both"/>
              <w:rPr>
                <w:sz w:val="22"/>
                <w:szCs w:val="22"/>
              </w:rPr>
            </w:pPr>
            <w:r w:rsidRPr="00590182">
              <w:rPr>
                <w:sz w:val="22"/>
                <w:szCs w:val="22"/>
              </w:rPr>
              <w:t>Gwarancj</w:t>
            </w:r>
            <w:r w:rsidRPr="00590182">
              <w:rPr>
                <w:color w:val="000000"/>
                <w:sz w:val="22"/>
                <w:szCs w:val="22"/>
              </w:rPr>
              <w:t>a:</w:t>
            </w:r>
            <w:r w:rsidRPr="00590182">
              <w:rPr>
                <w:color w:val="FF0000"/>
                <w:sz w:val="22"/>
                <w:szCs w:val="22"/>
              </w:rPr>
              <w:t xml:space="preserve"> </w:t>
            </w:r>
            <w:r w:rsidRPr="00590182">
              <w:rPr>
                <w:sz w:val="22"/>
                <w:szCs w:val="22"/>
              </w:rPr>
              <w:t>min. 24 miesiące</w:t>
            </w:r>
          </w:p>
        </w:tc>
      </w:tr>
      <w:tr w:rsidR="00590182" w:rsidRPr="00590182" w:rsidTr="008B6080">
        <w:trPr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2" w:rsidRPr="00590182" w:rsidRDefault="00590182" w:rsidP="008B6080">
            <w:pPr>
              <w:jc w:val="both"/>
              <w:rPr>
                <w:sz w:val="22"/>
                <w:szCs w:val="22"/>
              </w:rPr>
            </w:pPr>
            <w:r w:rsidRPr="00590182">
              <w:rPr>
                <w:sz w:val="22"/>
                <w:szCs w:val="22"/>
              </w:rPr>
              <w:t>Wraz z dostawą Wykonawca dostarczy dokumentację urządzenia (instrukcję obsługi użytkownika, instrukcje podstawowej obsługi serwisowej, instrukcje bezpieczeństwa użytkownika), kartę gwarancyjną w języku polskim w wersji papierowej.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590182">
        <w:rPr>
          <w:b/>
        </w:rPr>
        <w:t xml:space="preserve">kardiomonitor </w:t>
      </w:r>
      <w:r>
        <w:t>do siedziby Zamawiającego wskazanej w umowie. Dostarczon</w:t>
      </w:r>
      <w:r w:rsidR="006B759A">
        <w:t>y</w:t>
      </w:r>
      <w:r w:rsidR="00590182">
        <w:t xml:space="preserve"> </w:t>
      </w:r>
      <w:r w:rsidR="00590182" w:rsidRPr="00590182">
        <w:rPr>
          <w:b/>
        </w:rPr>
        <w:t>kardiomonitor</w:t>
      </w:r>
      <w:r w:rsidR="007B431F">
        <w:rPr>
          <w:b/>
        </w:rPr>
        <w:t xml:space="preserve"> </w:t>
      </w:r>
      <w:r w:rsidR="00C23D64">
        <w:t>mus</w:t>
      </w:r>
      <w:r w:rsidR="00B445DB">
        <w:t>i</w:t>
      </w:r>
      <w:r>
        <w:t xml:space="preserve"> być kompletn</w:t>
      </w:r>
      <w:r w:rsidR="006B759A">
        <w:t>y</w:t>
      </w:r>
      <w:r>
        <w:t xml:space="preserve"> i zgodn</w:t>
      </w:r>
      <w:r w:rsidR="006B759A">
        <w:t>y</w:t>
      </w:r>
      <w:r>
        <w:t xml:space="preserve"> z </w:t>
      </w:r>
      <w:r w:rsidR="00B445DB">
        <w:t>j</w:t>
      </w:r>
      <w:r w:rsidR="006B759A">
        <w:t xml:space="preserve">ego </w:t>
      </w:r>
      <w:r>
        <w:t>opisem w załączniku nr 1. Niedopuszczalne jest, aby dla zapewnienia prawidłowego użytkowania</w:t>
      </w:r>
      <w:r w:rsidR="007B431F">
        <w:t xml:space="preserve"> </w:t>
      </w:r>
      <w:r w:rsidR="00590182">
        <w:rPr>
          <w:b/>
        </w:rPr>
        <w:t>kardiomonitora</w:t>
      </w:r>
      <w:r w:rsidR="00B445DB">
        <w:rPr>
          <w:b/>
        </w:rPr>
        <w:t>,</w:t>
      </w:r>
      <w:r>
        <w:t xml:space="preserve">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C94819" w:rsidRPr="00750D84">
        <w:rPr>
          <w:rFonts w:eastAsia="Arial"/>
          <w:b/>
          <w:iCs/>
          <w:lang w:eastAsia="ar-SA"/>
        </w:rPr>
        <w:t>60</w:t>
      </w:r>
      <w:r>
        <w:rPr>
          <w:rFonts w:eastAsia="Arial"/>
          <w:b/>
          <w:iCs/>
          <w:lang w:eastAsia="ar-SA"/>
        </w:rPr>
        <w:t xml:space="preserve"> 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9C3F25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lastRenderedPageBreak/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D45AD">
          <w:rPr>
            <w:noProof/>
          </w:rPr>
          <w:t>1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E92"/>
    <w:multiLevelType w:val="hybridMultilevel"/>
    <w:tmpl w:val="FF0E6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B64"/>
    <w:multiLevelType w:val="hybridMultilevel"/>
    <w:tmpl w:val="7BAE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F3718B3"/>
    <w:multiLevelType w:val="hybridMultilevel"/>
    <w:tmpl w:val="F6D01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A0719"/>
    <w:multiLevelType w:val="hybridMultilevel"/>
    <w:tmpl w:val="CF3A7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5E4E49"/>
    <w:multiLevelType w:val="hybridMultilevel"/>
    <w:tmpl w:val="55AE5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9" w15:restartNumberingAfterBreak="0">
    <w:nsid w:val="6CA307AF"/>
    <w:multiLevelType w:val="hybridMultilevel"/>
    <w:tmpl w:val="0792E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B5EDE"/>
    <w:multiLevelType w:val="hybridMultilevel"/>
    <w:tmpl w:val="9BC6A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506523"/>
    <w:multiLevelType w:val="hybridMultilevel"/>
    <w:tmpl w:val="8DEE8C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B2052A"/>
    <w:multiLevelType w:val="hybridMultilevel"/>
    <w:tmpl w:val="A934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0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0F3AB0"/>
    <w:rsid w:val="002C1EB7"/>
    <w:rsid w:val="00590182"/>
    <w:rsid w:val="00686A45"/>
    <w:rsid w:val="006B759A"/>
    <w:rsid w:val="006E102C"/>
    <w:rsid w:val="00750D84"/>
    <w:rsid w:val="007B431F"/>
    <w:rsid w:val="00867781"/>
    <w:rsid w:val="009053E2"/>
    <w:rsid w:val="009171F2"/>
    <w:rsid w:val="00944561"/>
    <w:rsid w:val="009C3F25"/>
    <w:rsid w:val="00A25B13"/>
    <w:rsid w:val="00B445DB"/>
    <w:rsid w:val="00C23D64"/>
    <w:rsid w:val="00C94819"/>
    <w:rsid w:val="00CD45AD"/>
    <w:rsid w:val="00D56411"/>
    <w:rsid w:val="00F2758A"/>
    <w:rsid w:val="00F31F55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E2493-BD39-4DB7-B0EA-E88B2B3A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8B67C-99BC-41A0-89EB-EA63F36B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2173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7</cp:revision>
  <cp:lastPrinted>2021-04-26T11:16:00Z</cp:lastPrinted>
  <dcterms:created xsi:type="dcterms:W3CDTF">2021-06-20T19:16:00Z</dcterms:created>
  <dcterms:modified xsi:type="dcterms:W3CDTF">2021-07-15T09:05:00Z</dcterms:modified>
  <dc:language>pl-PL</dc:language>
</cp:coreProperties>
</file>